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140" w14:textId="77777777" w:rsidR="000A64FB" w:rsidRPr="00802229" w:rsidRDefault="000A64FB" w:rsidP="000F51A2">
      <w:pPr>
        <w:spacing w:line="276" w:lineRule="auto"/>
        <w:jc w:val="both"/>
        <w:rPr>
          <w:rFonts w:ascii="HelveticaNeueLT Std Lt Cn" w:hAnsi="HelveticaNeueLT Std Lt Cn" w:cstheme="minorHAnsi"/>
          <w:color w:val="808080"/>
          <w:sz w:val="24"/>
          <w:szCs w:val="24"/>
        </w:rPr>
      </w:pPr>
    </w:p>
    <w:p w14:paraId="4E4D09AB" w14:textId="77777777" w:rsidR="000A64FB" w:rsidRPr="00802229" w:rsidRDefault="000A64FB" w:rsidP="000F51A2">
      <w:pPr>
        <w:spacing w:line="276" w:lineRule="auto"/>
        <w:jc w:val="both"/>
        <w:rPr>
          <w:rFonts w:ascii="HelveticaNeueLT Std Lt Cn" w:hAnsi="HelveticaNeueLT Std Lt Cn" w:cstheme="minorHAnsi"/>
          <w:color w:val="808080"/>
          <w:sz w:val="24"/>
          <w:szCs w:val="24"/>
        </w:rPr>
      </w:pPr>
    </w:p>
    <w:p w14:paraId="4ACD7B50" w14:textId="1FBD709C" w:rsidR="00163A65" w:rsidRPr="00D73EFA" w:rsidRDefault="00C979F4" w:rsidP="00F5704E">
      <w:pPr>
        <w:spacing w:line="276" w:lineRule="auto"/>
        <w:jc w:val="both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  <w:r w:rsidRPr="00BD6D86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  <w:r w:rsidRPr="00BD6D86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  <w:r w:rsidR="00EA6680" w:rsidRPr="00BD6D86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  <w:r w:rsidR="00EA6680" w:rsidRPr="00BD6D86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</w:p>
    <w:p w14:paraId="217843DA" w14:textId="520133E2" w:rsidR="00E27E7A" w:rsidRPr="00E27E7A" w:rsidRDefault="00E27E7A" w:rsidP="00E27E7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7E7A">
        <w:rPr>
          <w:rFonts w:asciiTheme="minorHAnsi" w:hAnsiTheme="minorHAnsi" w:cstheme="minorHAnsi"/>
          <w:b/>
          <w:bCs/>
          <w:sz w:val="22"/>
          <w:szCs w:val="22"/>
        </w:rPr>
        <w:t>NOTA PER SOCIETA’ AFFILIATE</w:t>
      </w:r>
    </w:p>
    <w:p w14:paraId="3F5E1908" w14:textId="77777777" w:rsidR="00E27E7A" w:rsidRDefault="00E27E7A" w:rsidP="00E27E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9D9A2C" w14:textId="128F6091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Il 1° luglio sono entrate in vigore le disposizioni del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36/21 ed in particolare il Titolo V del decreto che riforma le norme relative alle prestazioni di lavoro svolte in ambito sportivo.</w:t>
      </w:r>
    </w:p>
    <w:p w14:paraId="533067A5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L’attuale testo del decreto è stato modificato dal decreto correttivo approvato dal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Consiglio dei Ministri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lo scorso 26 luglio e in corso di pubblicazione sulla Gazzetta Ufficiale.</w:t>
      </w:r>
    </w:p>
    <w:p w14:paraId="030500B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In attesa di disporre del testo definitivo si forniscono le seguenti indicazioni sulla base delle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utlime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modifiche approvate dal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CdM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, fermo restando che il testo definitivo che sarà pubblicato sulla G.U. potrebbe subire modifiche a seguito delle osservazioni del MEF.</w:t>
      </w:r>
    </w:p>
    <w:p w14:paraId="71F9CCF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Le eventuali modifiche, qualora approvate, saranno tempestivamente comunicate a cura della Federazione agli enti sportivi affiliati (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) e ai tesserati al fine di consentire agli stessi un tempestivo adeguamento alla norma.</w:t>
      </w:r>
    </w:p>
    <w:p w14:paraId="1739011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Le novità introdotte dal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>.36/21, alla luce dell’ultimo decreto correttivo sono le seguenti:</w:t>
      </w:r>
    </w:p>
    <w:p w14:paraId="00EAB1C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LAVORATORI</w:t>
      </w:r>
    </w:p>
    <w:p w14:paraId="46B31FDF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Sono definiti Lavoratori Sportivi: </w:t>
      </w:r>
    </w:p>
    <w:p w14:paraId="60DA7C2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1.</w:t>
      </w:r>
      <w:r w:rsidRPr="00E27E7A">
        <w:rPr>
          <w:rFonts w:asciiTheme="minorHAnsi" w:hAnsiTheme="minorHAnsi" w:cstheme="minorHAnsi"/>
          <w:sz w:val="22"/>
          <w:szCs w:val="22"/>
        </w:rPr>
        <w:tab/>
        <w:t>Atleti</w:t>
      </w:r>
    </w:p>
    <w:p w14:paraId="38DA278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2.</w:t>
      </w:r>
      <w:r w:rsidRPr="00E27E7A">
        <w:rPr>
          <w:rFonts w:asciiTheme="minorHAnsi" w:hAnsiTheme="minorHAnsi" w:cstheme="minorHAnsi"/>
          <w:sz w:val="22"/>
          <w:szCs w:val="22"/>
        </w:rPr>
        <w:tab/>
        <w:t>Allenatori</w:t>
      </w:r>
    </w:p>
    <w:p w14:paraId="242A6E4F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3.</w:t>
      </w:r>
      <w:r w:rsidRPr="00E27E7A">
        <w:rPr>
          <w:rFonts w:asciiTheme="minorHAnsi" w:hAnsiTheme="minorHAnsi" w:cstheme="minorHAnsi"/>
          <w:sz w:val="22"/>
          <w:szCs w:val="22"/>
        </w:rPr>
        <w:tab/>
        <w:t xml:space="preserve">Istruttore </w:t>
      </w:r>
    </w:p>
    <w:p w14:paraId="0AD69C80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4.</w:t>
      </w:r>
      <w:r w:rsidRPr="00E27E7A">
        <w:rPr>
          <w:rFonts w:asciiTheme="minorHAnsi" w:hAnsiTheme="minorHAnsi" w:cstheme="minorHAnsi"/>
          <w:sz w:val="22"/>
          <w:szCs w:val="22"/>
        </w:rPr>
        <w:tab/>
        <w:t>Direttore Tecnico</w:t>
      </w:r>
    </w:p>
    <w:p w14:paraId="663E9F2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5.</w:t>
      </w:r>
      <w:r w:rsidRPr="00E27E7A">
        <w:rPr>
          <w:rFonts w:asciiTheme="minorHAnsi" w:hAnsiTheme="minorHAnsi" w:cstheme="minorHAnsi"/>
          <w:sz w:val="22"/>
          <w:szCs w:val="22"/>
        </w:rPr>
        <w:tab/>
        <w:t>Direttore Sportivo</w:t>
      </w:r>
    </w:p>
    <w:p w14:paraId="0B6BC3E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6.</w:t>
      </w:r>
      <w:r w:rsidRPr="00E27E7A">
        <w:rPr>
          <w:rFonts w:asciiTheme="minorHAnsi" w:hAnsiTheme="minorHAnsi" w:cstheme="minorHAnsi"/>
          <w:sz w:val="22"/>
          <w:szCs w:val="22"/>
        </w:rPr>
        <w:tab/>
        <w:t xml:space="preserve">Preparatore Atletico </w:t>
      </w:r>
    </w:p>
    <w:p w14:paraId="40465120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7.</w:t>
      </w:r>
      <w:r w:rsidRPr="00E27E7A">
        <w:rPr>
          <w:rFonts w:asciiTheme="minorHAnsi" w:hAnsiTheme="minorHAnsi" w:cstheme="minorHAnsi"/>
          <w:sz w:val="22"/>
          <w:szCs w:val="22"/>
        </w:rPr>
        <w:tab/>
        <w:t>Direttore di gara</w:t>
      </w:r>
    </w:p>
    <w:p w14:paraId="64A30FEA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8.</w:t>
      </w:r>
      <w:r w:rsidRPr="00E27E7A">
        <w:rPr>
          <w:rFonts w:asciiTheme="minorHAnsi" w:hAnsiTheme="minorHAnsi" w:cstheme="minorHAnsi"/>
          <w:sz w:val="22"/>
          <w:szCs w:val="22"/>
        </w:rPr>
        <w:tab/>
        <w:t>Ogni tesserato che svolga verso corrispettivo una mansione necessaria per lo svolgimento di attività sportiva sulla base dei regolamenti di FSN, DSA, EPS.</w:t>
      </w:r>
    </w:p>
    <w:p w14:paraId="5EA6754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L’elenco delle mansioni sarà approvato dal Ministero dello Sport sentito il Ministero del lavoro e delle Politiche Sociali, sulla base dell’elenco fornito dalle singole FSN e DSA attraverso il CONI e il CIP.</w:t>
      </w:r>
    </w:p>
    <w:p w14:paraId="32EED70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L’elenco sarà tenuto dal Dipartimento dello Sport consentendo a ciascuna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di poter individuare con certezza quelle che consentono, per ciascuna disciplina sportiva di applicare le norme sul lavoro sportivo.</w:t>
      </w:r>
    </w:p>
    <w:p w14:paraId="0FBBE90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Appare opportuno precisare che figure come custodi impianti sportivi, giardinieri e altre figure che non rientrano specificamente tra quelle necessarie per lo svolgimento di attività sportiva dovranno essere oggetto di normali rapporti di lavoro (autonomo o subordinato) previsti dalle norme vigenti e non potranno usufruire delle agevolazioni previste per il “Lavoro Sportivo”</w:t>
      </w:r>
    </w:p>
    <w:p w14:paraId="36E7A84E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27428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2F50A4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COMPENSI: </w:t>
      </w:r>
    </w:p>
    <w:p w14:paraId="66356E2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Dal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1 luglio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l’art. 67, primo comma, lettera m) del TUIR è abrogato per la parte relativa allo sport dilettantistico.</w:t>
      </w:r>
    </w:p>
    <w:p w14:paraId="2ACEDDE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27E7A">
        <w:rPr>
          <w:rFonts w:asciiTheme="minorHAnsi" w:hAnsiTheme="minorHAnsi" w:cstheme="minorHAnsi"/>
          <w:sz w:val="22"/>
          <w:szCs w:val="22"/>
        </w:rPr>
        <w:t>Pertanto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a decorrere da tale data i compensi non potranno più essere considerati redditi diversi, ma solo redditi da lavoro (subordinato o autonomo, anche nella forma di collaborazione coordinata e continuativa a prescindere dall’importo corrisposto.</w:t>
      </w:r>
    </w:p>
    <w:p w14:paraId="5D24A330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27E7A">
        <w:rPr>
          <w:rFonts w:asciiTheme="minorHAnsi" w:hAnsiTheme="minorHAnsi" w:cstheme="minorHAnsi"/>
          <w:sz w:val="22"/>
          <w:szCs w:val="22"/>
        </w:rPr>
        <w:lastRenderedPageBreak/>
        <w:t>Pertanto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sarà necessario stipulare appositi contratti o lettere di incarico con i collaboratori/lavoratori applicando le ritenute fiscali e previdenziali previste dalla norma.</w:t>
      </w:r>
    </w:p>
    <w:p w14:paraId="61955D5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N.B. PER I COMPENSI DI CUI ALL’ART. 67 CO.1, LETT. M, SI APPLICA IL REGIME DI “CASSA” E NON QUELLO DI COMPETENZA PER CUI ANCHE I COMPENSI MATURATI AL 30 GIUGNO MA NON EROGATI, DAL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1 LUGLIO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SARANNO ASSOGGETTATI ALLE NUOVE DISPOSIZIONI IN MATERIA DI LAVORO SPORTIVO.</w:t>
      </w:r>
    </w:p>
    <w:p w14:paraId="3A2A20C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385425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TIPOLOGIA DI RAPPORTI NELL’AMBITO DEL LAVORO SPORTIVO</w:t>
      </w:r>
    </w:p>
    <w:p w14:paraId="7501182F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Il rapporto di lavoro potrà essere oggetto di un contratto di lavoro subordinato o di lavoro autonomo anche nella forma di collaborazione coordinata e continuativa.</w:t>
      </w:r>
    </w:p>
    <w:p w14:paraId="4609AFF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Per il rapporto di lavoro autonomo, nella forma di collaborazione coordinata e continuativa, è stata prevista una presunzione semplice qualora la prestazione non superi le 24 ore settimanali esclusa la partecipazione a manifestazioni sportive. </w:t>
      </w:r>
    </w:p>
    <w:p w14:paraId="7CAFADE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AF72B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SOGLIE ESENZIONE</w:t>
      </w:r>
    </w:p>
    <w:p w14:paraId="37D0199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Per tutte le forma di rapporto di lavoro sportivo (subordinato o autonomo) sono previste le seguenti soglie di esenzione:</w:t>
      </w:r>
    </w:p>
    <w:p w14:paraId="45718FB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Ai fini previdenziale – euro 5.000</w:t>
      </w:r>
    </w:p>
    <w:p w14:paraId="30A42B1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Ai fini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fiscali  -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euro 15.000</w:t>
      </w:r>
    </w:p>
    <w:p w14:paraId="2516CF2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Al fine di determinare il raggiungimento della soglia dei 15.000 euro è necessario considerare anche i compensi corrisposti fino al 30.06.2023.</w:t>
      </w:r>
    </w:p>
    <w:p w14:paraId="7714E56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B2688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ALIQUOTE PREVIDENZIALI</w:t>
      </w:r>
    </w:p>
    <w:p w14:paraId="1260EC78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Per i contratti di collaborazione coordinata e continuativa sono previste le seguenti aliquote:</w:t>
      </w:r>
    </w:p>
    <w:p w14:paraId="2B5C80F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•</w:t>
      </w:r>
      <w:r w:rsidRPr="00E27E7A">
        <w:rPr>
          <w:rFonts w:asciiTheme="minorHAnsi" w:hAnsiTheme="minorHAnsi" w:cstheme="minorHAnsi"/>
          <w:sz w:val="22"/>
          <w:szCs w:val="22"/>
        </w:rPr>
        <w:tab/>
        <w:t xml:space="preserve">24% qualora il collaboratore sia iscritto ad altra forma previdenziale </w:t>
      </w:r>
    </w:p>
    <w:p w14:paraId="16CBBD7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•</w:t>
      </w:r>
      <w:r w:rsidRPr="00E27E7A">
        <w:rPr>
          <w:rFonts w:asciiTheme="minorHAnsi" w:hAnsiTheme="minorHAnsi" w:cstheme="minorHAnsi"/>
          <w:sz w:val="22"/>
          <w:szCs w:val="22"/>
        </w:rPr>
        <w:tab/>
        <w:t>25% qualora il collaboratore non sia iscritto ad altra forma previdenziale</w:t>
      </w:r>
    </w:p>
    <w:p w14:paraId="212FB015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Le aliquote si applicheranno sul 50% dell’imponibile previdenziale fino al 31.12.2027.</w:t>
      </w:r>
    </w:p>
    <w:p w14:paraId="3D82DE2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19E2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ALIQUOTE INAIL</w:t>
      </w:r>
    </w:p>
    <w:p w14:paraId="4D6C9D5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Il lavoratori subordinati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sportivi  sono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soggetti all’INAIL. </w:t>
      </w:r>
    </w:p>
    <w:p w14:paraId="5ADD4A1B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 collaboratori coordinati e continuati “sportivi” non sono soggetti all’INAIL, ma per essi vale la copertura assicurativa garantita dall’assicurazione stipulata dalla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Fedearzione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.</w:t>
      </w:r>
    </w:p>
    <w:p w14:paraId="7670C16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B967B6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SICUREZZA SUL LAVORO</w:t>
      </w:r>
    </w:p>
    <w:p w14:paraId="09CC875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Tutte le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che sottoscriveranno contratti di lavoro con i propri collaboratori dovranno adottare le misure previste per la sicurezza sul lavoro (DVR, nomina medico, etc.)</w:t>
      </w:r>
    </w:p>
    <w:p w14:paraId="0671B0E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9BAD7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VOLONTARI</w:t>
      </w:r>
    </w:p>
    <w:p w14:paraId="395B50A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La norma effettua inoltre una netta distinzione tra lavoratori e volontari,</w:t>
      </w:r>
    </w:p>
    <w:p w14:paraId="7F31F20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 volontari potranno svolgono la prestazione a titolo puramente gratuito e potranno ricevere solo rimborsi spese documentati.</w:t>
      </w:r>
    </w:p>
    <w:p w14:paraId="3A1DFA50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, qualora si avvalessero di volontari, dovranno obbligatoriamente stipulare apposita polizza di responsabilità civile per assicurare i volontari dai danni che potrebbero arrecare a terzi nello svolgimento delle proprie attività volontaristiche. </w:t>
      </w:r>
    </w:p>
    <w:p w14:paraId="2B18A2E9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lastRenderedPageBreak/>
        <w:t xml:space="preserve">È prevista incompatibilità assoluta tra volontari e lavoratori nell’ambito della medesima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.</w:t>
      </w:r>
    </w:p>
    <w:p w14:paraId="6B2E81EF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27E7A">
        <w:rPr>
          <w:rFonts w:asciiTheme="minorHAnsi" w:hAnsiTheme="minorHAnsi" w:cstheme="minorHAnsi"/>
          <w:sz w:val="22"/>
          <w:szCs w:val="22"/>
        </w:rPr>
        <w:t>Pertanto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i soggetti che prestano quali volontari la propria opera a favore di una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non possono avere rapporti di lavoro remunerati con la stessa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.</w:t>
      </w:r>
    </w:p>
    <w:p w14:paraId="723B9DFD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Il decreto correttivo, di prossima pubblicazione sulla G.U., ha chiarito che i membri del consiglio direttivo delle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che ricoprono la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carica  a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titolo gratuito non rientrano nella categoria dei volontari ai fini della valutazione della incompatibilità.</w:t>
      </w:r>
    </w:p>
    <w:p w14:paraId="7428EFF6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8AB6B6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DIPENDENTI PUBBLICI</w:t>
      </w:r>
    </w:p>
    <w:p w14:paraId="2190582F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Dal 1° luglio le autorizzazioni concesse dalle Amministrazioni di Competenza ai propri dipendenti pubblici    per svolgere incarichi retribuiti non sono più valide.</w:t>
      </w:r>
    </w:p>
    <w:p w14:paraId="3993C46A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Per i Dipendenti delle Pubbliche Amministrazioni (compresi i soggetti appartenenti ai Gruppi Sportivi Militari e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Civili)  è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prevista una diversa procedura a seconda se la prestazione è svolta in forma volontaria o remunerata.</w:t>
      </w:r>
    </w:p>
    <w:p w14:paraId="74E2D8F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Prestazione Volontaria</w:t>
      </w:r>
    </w:p>
    <w:p w14:paraId="3DAA805B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In caso di prestazione svolta in modo volontario è necessaria la semplice comunicazione alla propria amministrazione da parte del collaboratore volontario.</w:t>
      </w:r>
    </w:p>
    <w:p w14:paraId="510AEA04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Prestazione remunerata</w:t>
      </w:r>
    </w:p>
    <w:p w14:paraId="2AC075D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Qualora la prestazione sia remunerata, rientrerà nell’ambito del lavoro sportivo.</w:t>
      </w:r>
    </w:p>
    <w:p w14:paraId="3474AF04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In questo caso è richiesto il rilascio di apposita autorizzazione da parte dell’Amministrazione di appartenenza.</w:t>
      </w:r>
    </w:p>
    <w:p w14:paraId="7B6AE8FE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Il decreto correttivo prevede che sia emanato un decreto dal Ministro della Pubblica Amministrazione per fissare i parametri per il rilascio dell’autorizzazione. In ogni caso, decorsi trenta giorni dalla richiesta si applica l’istituto del silenzio assenso.</w:t>
      </w:r>
    </w:p>
    <w:p w14:paraId="4F794F7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Ai fini della stipula del contratto il presidente dell’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dovrà accertarsi che l’autorizzazione sia stata concessa.</w:t>
      </w:r>
    </w:p>
    <w:p w14:paraId="7BEB2195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7453A8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ARBITRI, DIRETTORI DI GARA, SOGGETTI PREPOSTI ALLA RILEVAZIONE DI TEMPI E DISTANZE.</w:t>
      </w:r>
    </w:p>
    <w:p w14:paraId="37BA17B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Per tali figure sono previste le medesime disposizioni dei lavoratori sportivi o volontari.</w:t>
      </w:r>
    </w:p>
    <w:p w14:paraId="792BBBF6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Il Decreto correttivo prevede specifiche disposizioni che saranno comunicate a seguito dell’approvazione definitiva.</w:t>
      </w:r>
    </w:p>
    <w:p w14:paraId="1DD6C454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369D0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COMUNICAZIONI OBBLIGATORIE PER I RAPPORTI DI LAVORO</w:t>
      </w:r>
    </w:p>
    <w:p w14:paraId="7132556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 rapporti di collaborazione possono essere comunicati dalla singola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attraverso la propria area riservata del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registro .</w:t>
      </w:r>
      <w:proofErr w:type="gramEnd"/>
    </w:p>
    <w:p w14:paraId="33033E0A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Dal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1 luglio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è stata attivata la funzione e si invitano le 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asd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27E7A">
        <w:rPr>
          <w:rFonts w:asciiTheme="minorHAnsi" w:hAnsiTheme="minorHAnsi" w:cstheme="minorHAnsi"/>
          <w:sz w:val="22"/>
          <w:szCs w:val="22"/>
        </w:rPr>
        <w:t>ssd</w:t>
      </w:r>
      <w:proofErr w:type="spellEnd"/>
      <w:r w:rsidRPr="00E27E7A">
        <w:rPr>
          <w:rFonts w:asciiTheme="minorHAnsi" w:hAnsiTheme="minorHAnsi" w:cstheme="minorHAnsi"/>
          <w:sz w:val="22"/>
          <w:szCs w:val="22"/>
        </w:rPr>
        <w:t xml:space="preserve"> a prenderne visione.</w:t>
      </w:r>
    </w:p>
    <w:p w14:paraId="1E6FD595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In ogni caso, in fase di prima applicazione, il decreto correttivo prevede che gli adempimenti e i versamenti delle ritenute e dei contributi previdenziali relativi al periodo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1 luglio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>-30 settembre possano essere effettuati senza sanzioni entro il 31 dicembre 2023.</w:t>
      </w:r>
    </w:p>
    <w:p w14:paraId="436187B3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9FBE50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PREMI:</w:t>
      </w:r>
    </w:p>
    <w:p w14:paraId="7E54C63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I premi corrisposti per i risultati ottenuti in occasione di manifestazioni sportive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sono assoggettate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alla ritenuta a titolo di imposta del 20%. </w:t>
      </w:r>
      <w:proofErr w:type="gramStart"/>
      <w:r w:rsidRPr="00E27E7A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E27E7A">
        <w:rPr>
          <w:rFonts w:asciiTheme="minorHAnsi" w:hAnsiTheme="minorHAnsi" w:cstheme="minorHAnsi"/>
          <w:sz w:val="22"/>
          <w:szCs w:val="22"/>
        </w:rPr>
        <w:t xml:space="preserve"> stata prevista dal decreto correttivo una soglia di esenzione per i premi fino a 300 euro.</w:t>
      </w:r>
    </w:p>
    <w:p w14:paraId="154462C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7B8E3472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PRINCIPIO DI CASSA: </w:t>
      </w:r>
    </w:p>
    <w:p w14:paraId="197EF68C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Sia per i compensi sia per i premi vale il principio di cassa ai fini del relativo trattamento fiscale, ovvero la data effettiva del pagamento e non la data in cui è maturato il diritto a percepire il compenso o il premio</w:t>
      </w:r>
    </w:p>
    <w:p w14:paraId="36C51986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70FA2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MODULISTICA:</w:t>
      </w:r>
    </w:p>
    <w:p w14:paraId="03398728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La pregressa modulistica relativa alle Indennità/Compensi, Rimborsi spese e Premi presente sul sito federale Area Fiscale e/o elaborata dai singoli Dipartimenti/Comitati regionali è superata e non è più utilizzabile come anche la circolare Premi, Compensi e Ritenute.</w:t>
      </w:r>
    </w:p>
    <w:p w14:paraId="5102CCF7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>Le indicazioni fornite saranno tempestivamente aggiornate dalla Federazione che sta monitorando l’iter legislativo.</w:t>
      </w:r>
    </w:p>
    <w:p w14:paraId="39CC81C8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EA0A82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222FB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2AF76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5347FE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07E5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690F2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D53EB3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4032B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75C57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5754A9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E64925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CBFA14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73063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513C1A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FD7F54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1DFCC8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909E64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49BE4F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FA94B3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A040A1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37A8DB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39FA6A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B2AA3B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3565FF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F1B766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04E02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00838A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844EB6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C5787E" w14:textId="77777777" w:rsid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4552E1" w14:textId="77777777" w:rsidR="00E27E7A" w:rsidRPr="00E27E7A" w:rsidRDefault="00E27E7A" w:rsidP="00E27E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1A6D41" w14:textId="0235FC7E" w:rsidR="00A979EC" w:rsidRPr="00E17169" w:rsidRDefault="00E27E7A" w:rsidP="00214B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7E7A">
        <w:rPr>
          <w:rFonts w:asciiTheme="minorHAnsi" w:hAnsiTheme="minorHAnsi" w:cstheme="minorHAnsi"/>
          <w:sz w:val="22"/>
          <w:szCs w:val="22"/>
        </w:rPr>
        <w:tab/>
      </w:r>
    </w:p>
    <w:sectPr w:rsidR="00A979EC" w:rsidRPr="00E17169" w:rsidSect="00055EC0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134" w:bottom="1134" w:left="1134" w:header="567" w:footer="5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65E6" w14:textId="77777777" w:rsidR="0038510F" w:rsidRDefault="0038510F">
      <w:r>
        <w:separator/>
      </w:r>
    </w:p>
  </w:endnote>
  <w:endnote w:type="continuationSeparator" w:id="0">
    <w:p w14:paraId="66AE702C" w14:textId="77777777" w:rsidR="0038510F" w:rsidRDefault="003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D7DC" w14:textId="77777777" w:rsidR="002C6A4F" w:rsidRPr="00950B13" w:rsidRDefault="002C6A4F" w:rsidP="00055EC0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B0A238" wp14:editId="294C01B5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1" name="Immagine 17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58240" behindDoc="1" locked="0" layoutInCell="1" allowOverlap="1" wp14:anchorId="63EA3B8B" wp14:editId="2BFB2594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2" name="Immagine 13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14:paraId="0687E9FE" w14:textId="77777777" w:rsidR="002C6A4F" w:rsidRPr="00B158AD" w:rsidRDefault="002C6A4F" w:rsidP="00055EC0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>Federazione Sportiva Nazionale riconosciuta dal CONI - Federazione Sportiva Paralimpica riconosciuta dal CIP</w:t>
    </w:r>
  </w:p>
  <w:p w14:paraId="27286B4C" w14:textId="3EF5271B" w:rsidR="002C6A4F" w:rsidRPr="00B158AD" w:rsidRDefault="00736599" w:rsidP="00055EC0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5CDD6FB0" wp14:editId="12360F49">
              <wp:simplePos x="0" y="0"/>
              <wp:positionH relativeFrom="column">
                <wp:posOffset>-253365</wp:posOffset>
              </wp:positionH>
              <wp:positionV relativeFrom="paragraph">
                <wp:posOffset>56514</wp:posOffset>
              </wp:positionV>
              <wp:extent cx="6604000" cy="0"/>
              <wp:effectExtent l="0" t="0" r="0" b="0"/>
              <wp:wrapNone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97895" id="Line 1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5pt,4.45pt" to="500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" strokecolor="#272727" strokeweight=".25pt">
              <v:shadow opacity="24903f" origin=",.5" offset="0,.55556mm"/>
            </v:line>
          </w:pict>
        </mc:Fallback>
      </mc:AlternateContent>
    </w:r>
  </w:p>
  <w:p w14:paraId="54A91B06" w14:textId="77777777" w:rsidR="002C6A4F" w:rsidRPr="009B03DD" w:rsidRDefault="002C6A4F" w:rsidP="00055EC0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03DD">
      <w:rPr>
        <w:rFonts w:ascii="Helvetica Neue" w:hAnsi="Helvetica Neue"/>
        <w:color w:val="262626"/>
        <w:sz w:val="16"/>
        <w:szCs w:val="16"/>
        <w:lang w:val="en-US"/>
      </w:rPr>
      <w:t>Tel. 010 5445 41 – Fax 010 592864</w:t>
    </w:r>
  </w:p>
  <w:p w14:paraId="767E9BE7" w14:textId="77777777" w:rsidR="002C6A4F" w:rsidRPr="00B158AD" w:rsidRDefault="002C6A4F" w:rsidP="00055EC0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u w:val="none"/>
          <w:lang w:val="en-US"/>
        </w:rPr>
        <w:t>www.federvela.it</w:t>
      </w:r>
    </w:hyperlink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  <w:p w14:paraId="722FEE3E" w14:textId="77777777" w:rsidR="002C6A4F" w:rsidRPr="00913149" w:rsidRDefault="002C6A4F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80E7" w14:textId="77777777" w:rsidR="002C6A4F" w:rsidRPr="00950B13" w:rsidRDefault="002C6A4F" w:rsidP="00B158AD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5001667F" wp14:editId="60C60555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17" name="Immagine 17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52096" behindDoc="1" locked="0" layoutInCell="1" allowOverlap="1" wp14:anchorId="27C76DA4" wp14:editId="28C5E54D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13" name="Immagine 13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14:paraId="60F9EE2A" w14:textId="77777777" w:rsidR="002C6A4F" w:rsidRPr="00B158AD" w:rsidRDefault="002C6A4F" w:rsidP="00B158AD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>Federazione Sportiva Nazionale riconosciuta dal CONI - Federazione Sportiva Paralimpica riconosciuta dal CIP</w:t>
    </w:r>
  </w:p>
  <w:p w14:paraId="6F32AFB3" w14:textId="172F0890" w:rsidR="002C6A4F" w:rsidRPr="00B158AD" w:rsidRDefault="00736599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FA81B4" wp14:editId="1B5E9962">
              <wp:simplePos x="0" y="0"/>
              <wp:positionH relativeFrom="column">
                <wp:posOffset>-253365</wp:posOffset>
              </wp:positionH>
              <wp:positionV relativeFrom="paragraph">
                <wp:posOffset>56514</wp:posOffset>
              </wp:positionV>
              <wp:extent cx="6604000" cy="0"/>
              <wp:effectExtent l="0" t="0" r="0" b="0"/>
              <wp:wrapNone/>
              <wp:docPr id="5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B518A" id="Connettore 1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5pt,4.45pt" to="500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" strokecolor="#272727" strokeweight=".25pt">
              <v:shadow opacity="24903f" origin=",.5" offset="0,.55556mm"/>
            </v:line>
          </w:pict>
        </mc:Fallback>
      </mc:AlternateContent>
    </w:r>
  </w:p>
  <w:p w14:paraId="068B5C31" w14:textId="77777777" w:rsidR="002C6A4F" w:rsidRPr="009B03DD" w:rsidRDefault="002C6A4F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03DD">
      <w:rPr>
        <w:rFonts w:ascii="Helvetica Neue" w:hAnsi="Helvetica Neue"/>
        <w:color w:val="262626"/>
        <w:sz w:val="16"/>
        <w:szCs w:val="16"/>
        <w:lang w:val="en-US"/>
      </w:rPr>
      <w:t>Tel. 010 5445 41 – Fax 010 592864</w:t>
    </w:r>
  </w:p>
  <w:p w14:paraId="2B5C8883" w14:textId="77777777" w:rsidR="002C6A4F" w:rsidRPr="00B158AD" w:rsidRDefault="002C6A4F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u w:val="none"/>
          <w:lang w:val="en-US"/>
        </w:rPr>
        <w:t>www.federvela.it</w:t>
      </w:r>
    </w:hyperlink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1474" w14:textId="77777777" w:rsidR="0038510F" w:rsidRDefault="0038510F">
      <w:r>
        <w:separator/>
      </w:r>
    </w:p>
  </w:footnote>
  <w:footnote w:type="continuationSeparator" w:id="0">
    <w:p w14:paraId="10A005F6" w14:textId="77777777" w:rsidR="0038510F" w:rsidRDefault="0038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13BD" w14:textId="77777777" w:rsidR="002C6A4F" w:rsidRDefault="002C6A4F">
    <w:pPr>
      <w:pStyle w:val="Intestazione"/>
    </w:pPr>
    <w:r w:rsidRPr="00055EC0">
      <w:rPr>
        <w:noProof/>
      </w:rPr>
      <w:drawing>
        <wp:anchor distT="0" distB="0" distL="114300" distR="114300" simplePos="0" relativeHeight="251662336" behindDoc="0" locked="0" layoutInCell="1" allowOverlap="1" wp14:anchorId="064016A1" wp14:editId="63B0BF88">
          <wp:simplePos x="0" y="0"/>
          <wp:positionH relativeFrom="margin">
            <wp:posOffset>2503593</wp:posOffset>
          </wp:positionH>
          <wp:positionV relativeFrom="paragraph">
            <wp:posOffset>-340995</wp:posOffset>
          </wp:positionV>
          <wp:extent cx="1247775" cy="895350"/>
          <wp:effectExtent l="19050" t="0" r="9525" b="0"/>
          <wp:wrapNone/>
          <wp:docPr id="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9163" w14:textId="77777777" w:rsidR="002C6A4F" w:rsidRDefault="002C6A4F" w:rsidP="00C54039">
    <w:pPr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612935F" wp14:editId="01AC7497">
          <wp:simplePos x="0" y="0"/>
          <wp:positionH relativeFrom="margin">
            <wp:posOffset>2343785</wp:posOffset>
          </wp:positionH>
          <wp:positionV relativeFrom="paragraph">
            <wp:posOffset>-115570</wp:posOffset>
          </wp:positionV>
          <wp:extent cx="1431290" cy="1025525"/>
          <wp:effectExtent l="19050" t="0" r="0" b="0"/>
          <wp:wrapNone/>
          <wp:docPr id="19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F27BE5" w14:textId="77777777" w:rsidR="002C6A4F" w:rsidRDefault="002C6A4F" w:rsidP="00C54039">
    <w:pPr>
      <w:rPr>
        <w:noProof/>
      </w:rPr>
    </w:pPr>
    <w:r>
      <w:rPr>
        <w:noProof/>
      </w:rPr>
      <w:tab/>
    </w:r>
  </w:p>
  <w:p w14:paraId="158806D7" w14:textId="77777777" w:rsidR="002C6A4F" w:rsidRDefault="002C6A4F" w:rsidP="00C54039">
    <w:r>
      <w:rPr>
        <w:noProof/>
      </w:rPr>
      <w:tab/>
    </w:r>
    <w:r>
      <w:rPr>
        <w:noProof/>
      </w:rPr>
      <w:tab/>
    </w:r>
  </w:p>
  <w:p w14:paraId="1E7B2952" w14:textId="77777777" w:rsidR="002C6A4F" w:rsidRDefault="002C6A4F" w:rsidP="00921CA5">
    <w:pPr>
      <w:pStyle w:val="Intestazione"/>
      <w:tabs>
        <w:tab w:val="clear" w:pos="4819"/>
        <w:tab w:val="clear" w:pos="9638"/>
        <w:tab w:val="left" w:pos="1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3ED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0F267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19A6A06"/>
    <w:multiLevelType w:val="hybridMultilevel"/>
    <w:tmpl w:val="F8C095F2"/>
    <w:lvl w:ilvl="0" w:tplc="B3381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1F3E"/>
    <w:multiLevelType w:val="hybridMultilevel"/>
    <w:tmpl w:val="B37075E8"/>
    <w:lvl w:ilvl="0" w:tplc="B122D4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1695"/>
    <w:multiLevelType w:val="hybridMultilevel"/>
    <w:tmpl w:val="1896A918"/>
    <w:lvl w:ilvl="0" w:tplc="80DA9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456"/>
    <w:multiLevelType w:val="hybridMultilevel"/>
    <w:tmpl w:val="93CC7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D77D0"/>
    <w:multiLevelType w:val="hybridMultilevel"/>
    <w:tmpl w:val="7366868A"/>
    <w:lvl w:ilvl="0" w:tplc="C2DA9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0BC"/>
    <w:multiLevelType w:val="hybridMultilevel"/>
    <w:tmpl w:val="BCE8CB8E"/>
    <w:lvl w:ilvl="0" w:tplc="DC462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5A57"/>
    <w:multiLevelType w:val="hybridMultilevel"/>
    <w:tmpl w:val="7E18BB8C"/>
    <w:lvl w:ilvl="0" w:tplc="4EEE5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62CA"/>
    <w:multiLevelType w:val="hybridMultilevel"/>
    <w:tmpl w:val="F68031A0"/>
    <w:lvl w:ilvl="0" w:tplc="D5CCB0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32755">
    <w:abstractNumId w:val="1"/>
  </w:num>
  <w:num w:numId="2" w16cid:durableId="1139373101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 w16cid:durableId="656036129">
    <w:abstractNumId w:val="5"/>
  </w:num>
  <w:num w:numId="4" w16cid:durableId="408620453">
    <w:abstractNumId w:val="3"/>
  </w:num>
  <w:num w:numId="5" w16cid:durableId="785928270">
    <w:abstractNumId w:val="0"/>
  </w:num>
  <w:num w:numId="6" w16cid:durableId="7916779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633770">
    <w:abstractNumId w:val="4"/>
  </w:num>
  <w:num w:numId="8" w16cid:durableId="1991668389">
    <w:abstractNumId w:val="8"/>
  </w:num>
  <w:num w:numId="9" w16cid:durableId="710426308">
    <w:abstractNumId w:val="9"/>
  </w:num>
  <w:num w:numId="10" w16cid:durableId="1512645469">
    <w:abstractNumId w:val="7"/>
  </w:num>
  <w:num w:numId="11" w16cid:durableId="167598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08"/>
    <w:rsid w:val="0000075B"/>
    <w:rsid w:val="00003761"/>
    <w:rsid w:val="000037A0"/>
    <w:rsid w:val="000107D9"/>
    <w:rsid w:val="000134CD"/>
    <w:rsid w:val="00014C44"/>
    <w:rsid w:val="00023626"/>
    <w:rsid w:val="0002515F"/>
    <w:rsid w:val="00026C5A"/>
    <w:rsid w:val="00042936"/>
    <w:rsid w:val="00044FC5"/>
    <w:rsid w:val="00047D4C"/>
    <w:rsid w:val="00052604"/>
    <w:rsid w:val="00053191"/>
    <w:rsid w:val="00055EC0"/>
    <w:rsid w:val="0006533D"/>
    <w:rsid w:val="00076BA5"/>
    <w:rsid w:val="00077D6D"/>
    <w:rsid w:val="000807D0"/>
    <w:rsid w:val="00080BFB"/>
    <w:rsid w:val="00083A85"/>
    <w:rsid w:val="00084EAA"/>
    <w:rsid w:val="00094BF5"/>
    <w:rsid w:val="000A049F"/>
    <w:rsid w:val="000A5CC5"/>
    <w:rsid w:val="000A64FB"/>
    <w:rsid w:val="000A7D27"/>
    <w:rsid w:val="000B1062"/>
    <w:rsid w:val="000B13EA"/>
    <w:rsid w:val="000B1C22"/>
    <w:rsid w:val="000B6A9B"/>
    <w:rsid w:val="000C0699"/>
    <w:rsid w:val="000C1AFA"/>
    <w:rsid w:val="000C524E"/>
    <w:rsid w:val="000C5A77"/>
    <w:rsid w:val="000D4AA1"/>
    <w:rsid w:val="000D588F"/>
    <w:rsid w:val="000E0142"/>
    <w:rsid w:val="000E06E8"/>
    <w:rsid w:val="000E1368"/>
    <w:rsid w:val="000E189E"/>
    <w:rsid w:val="000E3AF8"/>
    <w:rsid w:val="000F322C"/>
    <w:rsid w:val="000F51A2"/>
    <w:rsid w:val="000F658E"/>
    <w:rsid w:val="000F6BB5"/>
    <w:rsid w:val="001065B0"/>
    <w:rsid w:val="001109C2"/>
    <w:rsid w:val="00117CDA"/>
    <w:rsid w:val="00117F71"/>
    <w:rsid w:val="00124191"/>
    <w:rsid w:val="00125345"/>
    <w:rsid w:val="00125AE0"/>
    <w:rsid w:val="00126113"/>
    <w:rsid w:val="00132F16"/>
    <w:rsid w:val="00142B95"/>
    <w:rsid w:val="00144D37"/>
    <w:rsid w:val="0014566F"/>
    <w:rsid w:val="00145D60"/>
    <w:rsid w:val="00151676"/>
    <w:rsid w:val="00157539"/>
    <w:rsid w:val="001635C0"/>
    <w:rsid w:val="00163A65"/>
    <w:rsid w:val="00170010"/>
    <w:rsid w:val="00172307"/>
    <w:rsid w:val="00173FCE"/>
    <w:rsid w:val="00177321"/>
    <w:rsid w:val="00190B78"/>
    <w:rsid w:val="0019791C"/>
    <w:rsid w:val="001A2517"/>
    <w:rsid w:val="001B4973"/>
    <w:rsid w:val="001C06CF"/>
    <w:rsid w:val="001C23C2"/>
    <w:rsid w:val="001D3338"/>
    <w:rsid w:val="001E27C2"/>
    <w:rsid w:val="00214B53"/>
    <w:rsid w:val="00214B6E"/>
    <w:rsid w:val="00215CBF"/>
    <w:rsid w:val="00227B39"/>
    <w:rsid w:val="0023254F"/>
    <w:rsid w:val="00233165"/>
    <w:rsid w:val="002357ED"/>
    <w:rsid w:val="00241463"/>
    <w:rsid w:val="00242DEE"/>
    <w:rsid w:val="00261847"/>
    <w:rsid w:val="00264515"/>
    <w:rsid w:val="002655E1"/>
    <w:rsid w:val="002712F5"/>
    <w:rsid w:val="00275013"/>
    <w:rsid w:val="0028458A"/>
    <w:rsid w:val="002861F2"/>
    <w:rsid w:val="00287520"/>
    <w:rsid w:val="00291CA2"/>
    <w:rsid w:val="002927A5"/>
    <w:rsid w:val="00294C10"/>
    <w:rsid w:val="0029616E"/>
    <w:rsid w:val="002A08D9"/>
    <w:rsid w:val="002A187B"/>
    <w:rsid w:val="002A3C38"/>
    <w:rsid w:val="002B1148"/>
    <w:rsid w:val="002B67A3"/>
    <w:rsid w:val="002B71AE"/>
    <w:rsid w:val="002C5971"/>
    <w:rsid w:val="002C6A4F"/>
    <w:rsid w:val="002D03F1"/>
    <w:rsid w:val="002D1962"/>
    <w:rsid w:val="002E13C7"/>
    <w:rsid w:val="002E16F1"/>
    <w:rsid w:val="002E41AB"/>
    <w:rsid w:val="002E4325"/>
    <w:rsid w:val="002E4769"/>
    <w:rsid w:val="002E77EC"/>
    <w:rsid w:val="002F2A9A"/>
    <w:rsid w:val="002F3C09"/>
    <w:rsid w:val="003016B6"/>
    <w:rsid w:val="00313817"/>
    <w:rsid w:val="00316975"/>
    <w:rsid w:val="00321B4C"/>
    <w:rsid w:val="00322B96"/>
    <w:rsid w:val="00323CD7"/>
    <w:rsid w:val="00330140"/>
    <w:rsid w:val="00331A03"/>
    <w:rsid w:val="00336599"/>
    <w:rsid w:val="0033699D"/>
    <w:rsid w:val="003428C8"/>
    <w:rsid w:val="003555B9"/>
    <w:rsid w:val="003575BB"/>
    <w:rsid w:val="00361529"/>
    <w:rsid w:val="00371BC7"/>
    <w:rsid w:val="0037729F"/>
    <w:rsid w:val="00377B86"/>
    <w:rsid w:val="0038510F"/>
    <w:rsid w:val="003860F7"/>
    <w:rsid w:val="00386618"/>
    <w:rsid w:val="003B0163"/>
    <w:rsid w:val="003B5D1B"/>
    <w:rsid w:val="003C12E7"/>
    <w:rsid w:val="003C35F8"/>
    <w:rsid w:val="003D4A46"/>
    <w:rsid w:val="003D5AE0"/>
    <w:rsid w:val="003D6045"/>
    <w:rsid w:val="003D7719"/>
    <w:rsid w:val="003F349B"/>
    <w:rsid w:val="004044BE"/>
    <w:rsid w:val="00413AAE"/>
    <w:rsid w:val="004147E0"/>
    <w:rsid w:val="00417109"/>
    <w:rsid w:val="004253DF"/>
    <w:rsid w:val="00432D5C"/>
    <w:rsid w:val="00445759"/>
    <w:rsid w:val="0044654C"/>
    <w:rsid w:val="004505A3"/>
    <w:rsid w:val="00460B40"/>
    <w:rsid w:val="004616B8"/>
    <w:rsid w:val="00465B79"/>
    <w:rsid w:val="00473A3D"/>
    <w:rsid w:val="0047470A"/>
    <w:rsid w:val="00474C84"/>
    <w:rsid w:val="00475964"/>
    <w:rsid w:val="004845B2"/>
    <w:rsid w:val="004A0E2F"/>
    <w:rsid w:val="004A0FD1"/>
    <w:rsid w:val="004A2465"/>
    <w:rsid w:val="004A53C7"/>
    <w:rsid w:val="004B2253"/>
    <w:rsid w:val="004B2859"/>
    <w:rsid w:val="004B5638"/>
    <w:rsid w:val="004B60F3"/>
    <w:rsid w:val="004B7189"/>
    <w:rsid w:val="004B774A"/>
    <w:rsid w:val="004C05A0"/>
    <w:rsid w:val="004D648D"/>
    <w:rsid w:val="004E02E7"/>
    <w:rsid w:val="004E3399"/>
    <w:rsid w:val="004E69F9"/>
    <w:rsid w:val="004E6C63"/>
    <w:rsid w:val="004F0770"/>
    <w:rsid w:val="004F35AC"/>
    <w:rsid w:val="004F38D6"/>
    <w:rsid w:val="004F5B3D"/>
    <w:rsid w:val="004F6E34"/>
    <w:rsid w:val="004F73E9"/>
    <w:rsid w:val="00504292"/>
    <w:rsid w:val="00506BC5"/>
    <w:rsid w:val="00510A0E"/>
    <w:rsid w:val="00515418"/>
    <w:rsid w:val="00516B96"/>
    <w:rsid w:val="00526C9E"/>
    <w:rsid w:val="00530692"/>
    <w:rsid w:val="005351F6"/>
    <w:rsid w:val="00536A45"/>
    <w:rsid w:val="00546508"/>
    <w:rsid w:val="0055247B"/>
    <w:rsid w:val="005532BE"/>
    <w:rsid w:val="00554A59"/>
    <w:rsid w:val="00556B1F"/>
    <w:rsid w:val="00561F1C"/>
    <w:rsid w:val="00563049"/>
    <w:rsid w:val="00563826"/>
    <w:rsid w:val="00572A38"/>
    <w:rsid w:val="0058048E"/>
    <w:rsid w:val="00582124"/>
    <w:rsid w:val="005845A3"/>
    <w:rsid w:val="00587A9A"/>
    <w:rsid w:val="0059060E"/>
    <w:rsid w:val="005928E7"/>
    <w:rsid w:val="00592A6B"/>
    <w:rsid w:val="00593D93"/>
    <w:rsid w:val="005951F1"/>
    <w:rsid w:val="005A323D"/>
    <w:rsid w:val="005B0BF9"/>
    <w:rsid w:val="005B734E"/>
    <w:rsid w:val="005C05D7"/>
    <w:rsid w:val="005C38B3"/>
    <w:rsid w:val="005C3EC2"/>
    <w:rsid w:val="005C4544"/>
    <w:rsid w:val="005C7790"/>
    <w:rsid w:val="005D34E1"/>
    <w:rsid w:val="005E01BD"/>
    <w:rsid w:val="005E66B6"/>
    <w:rsid w:val="005E6F92"/>
    <w:rsid w:val="005F2593"/>
    <w:rsid w:val="005F404C"/>
    <w:rsid w:val="005F4964"/>
    <w:rsid w:val="005F4E4C"/>
    <w:rsid w:val="005F76D0"/>
    <w:rsid w:val="00604A9A"/>
    <w:rsid w:val="0060568B"/>
    <w:rsid w:val="006118CD"/>
    <w:rsid w:val="00613400"/>
    <w:rsid w:val="00617A50"/>
    <w:rsid w:val="00623D52"/>
    <w:rsid w:val="00635D36"/>
    <w:rsid w:val="0064073E"/>
    <w:rsid w:val="00646B7E"/>
    <w:rsid w:val="00647596"/>
    <w:rsid w:val="00647E1F"/>
    <w:rsid w:val="00647FAB"/>
    <w:rsid w:val="00654386"/>
    <w:rsid w:val="0066070E"/>
    <w:rsid w:val="00662894"/>
    <w:rsid w:val="00663137"/>
    <w:rsid w:val="00686EAD"/>
    <w:rsid w:val="006B00B7"/>
    <w:rsid w:val="006B4083"/>
    <w:rsid w:val="006B5985"/>
    <w:rsid w:val="006B5F74"/>
    <w:rsid w:val="006B78D2"/>
    <w:rsid w:val="006B792E"/>
    <w:rsid w:val="006C02F5"/>
    <w:rsid w:val="006C22AE"/>
    <w:rsid w:val="006C3C00"/>
    <w:rsid w:val="006D078B"/>
    <w:rsid w:val="006D49C8"/>
    <w:rsid w:val="006D5B37"/>
    <w:rsid w:val="006D7560"/>
    <w:rsid w:val="006E06C3"/>
    <w:rsid w:val="006E5BA5"/>
    <w:rsid w:val="006F1BE2"/>
    <w:rsid w:val="006F53D5"/>
    <w:rsid w:val="006F6709"/>
    <w:rsid w:val="006F68EE"/>
    <w:rsid w:val="00702E1F"/>
    <w:rsid w:val="00706BF9"/>
    <w:rsid w:val="0070760A"/>
    <w:rsid w:val="0070783A"/>
    <w:rsid w:val="00714F8E"/>
    <w:rsid w:val="00726DEB"/>
    <w:rsid w:val="00732DD2"/>
    <w:rsid w:val="00736599"/>
    <w:rsid w:val="00741D83"/>
    <w:rsid w:val="0074425D"/>
    <w:rsid w:val="00744B46"/>
    <w:rsid w:val="00752D5A"/>
    <w:rsid w:val="0076040A"/>
    <w:rsid w:val="00761867"/>
    <w:rsid w:val="007625A1"/>
    <w:rsid w:val="00772C34"/>
    <w:rsid w:val="00774150"/>
    <w:rsid w:val="0077797D"/>
    <w:rsid w:val="00785456"/>
    <w:rsid w:val="007926D2"/>
    <w:rsid w:val="007964A2"/>
    <w:rsid w:val="00796BD0"/>
    <w:rsid w:val="00797D9B"/>
    <w:rsid w:val="007B06DB"/>
    <w:rsid w:val="007B455D"/>
    <w:rsid w:val="007C156E"/>
    <w:rsid w:val="007C46A7"/>
    <w:rsid w:val="007C5FBC"/>
    <w:rsid w:val="007C74D8"/>
    <w:rsid w:val="007D531F"/>
    <w:rsid w:val="007D7B71"/>
    <w:rsid w:val="007E2444"/>
    <w:rsid w:val="007F0AB2"/>
    <w:rsid w:val="00802229"/>
    <w:rsid w:val="008070DB"/>
    <w:rsid w:val="00807387"/>
    <w:rsid w:val="00812D1D"/>
    <w:rsid w:val="00815C1D"/>
    <w:rsid w:val="00822E1F"/>
    <w:rsid w:val="00824948"/>
    <w:rsid w:val="008255A9"/>
    <w:rsid w:val="0083689E"/>
    <w:rsid w:val="00842318"/>
    <w:rsid w:val="008444C1"/>
    <w:rsid w:val="00850523"/>
    <w:rsid w:val="008515E0"/>
    <w:rsid w:val="008528F0"/>
    <w:rsid w:val="0085467C"/>
    <w:rsid w:val="00857410"/>
    <w:rsid w:val="00860CA9"/>
    <w:rsid w:val="00890F7D"/>
    <w:rsid w:val="0089688F"/>
    <w:rsid w:val="008A0CF6"/>
    <w:rsid w:val="008A1064"/>
    <w:rsid w:val="008A55CC"/>
    <w:rsid w:val="008A608E"/>
    <w:rsid w:val="008A717E"/>
    <w:rsid w:val="008B0596"/>
    <w:rsid w:val="008B1B13"/>
    <w:rsid w:val="008B1B94"/>
    <w:rsid w:val="008C531A"/>
    <w:rsid w:val="008C587C"/>
    <w:rsid w:val="008C594E"/>
    <w:rsid w:val="008C73D1"/>
    <w:rsid w:val="008D7345"/>
    <w:rsid w:val="008E0CA0"/>
    <w:rsid w:val="008E21B0"/>
    <w:rsid w:val="00900A17"/>
    <w:rsid w:val="00913149"/>
    <w:rsid w:val="00913A6D"/>
    <w:rsid w:val="009153B7"/>
    <w:rsid w:val="00916ACB"/>
    <w:rsid w:val="00921CA5"/>
    <w:rsid w:val="00926151"/>
    <w:rsid w:val="00927BCE"/>
    <w:rsid w:val="0093383C"/>
    <w:rsid w:val="009371B0"/>
    <w:rsid w:val="009459E1"/>
    <w:rsid w:val="009470A6"/>
    <w:rsid w:val="00947550"/>
    <w:rsid w:val="00950B13"/>
    <w:rsid w:val="00952162"/>
    <w:rsid w:val="009521A6"/>
    <w:rsid w:val="00952BC5"/>
    <w:rsid w:val="00953BA9"/>
    <w:rsid w:val="009649FF"/>
    <w:rsid w:val="00965387"/>
    <w:rsid w:val="00970BF9"/>
    <w:rsid w:val="00971B13"/>
    <w:rsid w:val="00977DBF"/>
    <w:rsid w:val="00980BB6"/>
    <w:rsid w:val="00980BCE"/>
    <w:rsid w:val="0098567B"/>
    <w:rsid w:val="00987691"/>
    <w:rsid w:val="00992B7B"/>
    <w:rsid w:val="00993319"/>
    <w:rsid w:val="009949AC"/>
    <w:rsid w:val="009965FA"/>
    <w:rsid w:val="009B03DD"/>
    <w:rsid w:val="009B2DB5"/>
    <w:rsid w:val="009C03DF"/>
    <w:rsid w:val="009C26AD"/>
    <w:rsid w:val="009C5F53"/>
    <w:rsid w:val="009D5147"/>
    <w:rsid w:val="009D7A80"/>
    <w:rsid w:val="009F215A"/>
    <w:rsid w:val="009F21BF"/>
    <w:rsid w:val="009F2AF0"/>
    <w:rsid w:val="009F38D5"/>
    <w:rsid w:val="009F40D0"/>
    <w:rsid w:val="009F43B5"/>
    <w:rsid w:val="009F6DEE"/>
    <w:rsid w:val="00A00008"/>
    <w:rsid w:val="00A141F4"/>
    <w:rsid w:val="00A3076D"/>
    <w:rsid w:val="00A41449"/>
    <w:rsid w:val="00A4490C"/>
    <w:rsid w:val="00A45FC0"/>
    <w:rsid w:val="00A507A8"/>
    <w:rsid w:val="00A5115B"/>
    <w:rsid w:val="00A567E2"/>
    <w:rsid w:val="00A6790A"/>
    <w:rsid w:val="00A705AE"/>
    <w:rsid w:val="00A70D1D"/>
    <w:rsid w:val="00A71411"/>
    <w:rsid w:val="00A7230C"/>
    <w:rsid w:val="00A74B08"/>
    <w:rsid w:val="00A80505"/>
    <w:rsid w:val="00A81707"/>
    <w:rsid w:val="00A84468"/>
    <w:rsid w:val="00A84C81"/>
    <w:rsid w:val="00A979EC"/>
    <w:rsid w:val="00AA1230"/>
    <w:rsid w:val="00AA193B"/>
    <w:rsid w:val="00AA4D2C"/>
    <w:rsid w:val="00AA71E2"/>
    <w:rsid w:val="00AB1DE0"/>
    <w:rsid w:val="00AB318A"/>
    <w:rsid w:val="00AC2A8C"/>
    <w:rsid w:val="00AC6E07"/>
    <w:rsid w:val="00AD0A5D"/>
    <w:rsid w:val="00AD0F07"/>
    <w:rsid w:val="00AD7076"/>
    <w:rsid w:val="00AD751B"/>
    <w:rsid w:val="00AE36D3"/>
    <w:rsid w:val="00AE4802"/>
    <w:rsid w:val="00AF08D8"/>
    <w:rsid w:val="00AF203E"/>
    <w:rsid w:val="00AF6685"/>
    <w:rsid w:val="00AF781A"/>
    <w:rsid w:val="00B04486"/>
    <w:rsid w:val="00B04B51"/>
    <w:rsid w:val="00B05DE1"/>
    <w:rsid w:val="00B10749"/>
    <w:rsid w:val="00B158AD"/>
    <w:rsid w:val="00B16510"/>
    <w:rsid w:val="00B1743A"/>
    <w:rsid w:val="00B245DF"/>
    <w:rsid w:val="00B246D5"/>
    <w:rsid w:val="00B3122C"/>
    <w:rsid w:val="00B34322"/>
    <w:rsid w:val="00B345B6"/>
    <w:rsid w:val="00B36622"/>
    <w:rsid w:val="00B4172D"/>
    <w:rsid w:val="00B43D6E"/>
    <w:rsid w:val="00B44476"/>
    <w:rsid w:val="00B56B88"/>
    <w:rsid w:val="00B650DC"/>
    <w:rsid w:val="00B67E7F"/>
    <w:rsid w:val="00B80309"/>
    <w:rsid w:val="00B80816"/>
    <w:rsid w:val="00B83894"/>
    <w:rsid w:val="00B83A0B"/>
    <w:rsid w:val="00B906AA"/>
    <w:rsid w:val="00B97CAC"/>
    <w:rsid w:val="00BA0D07"/>
    <w:rsid w:val="00BC4506"/>
    <w:rsid w:val="00BC535E"/>
    <w:rsid w:val="00BC6B11"/>
    <w:rsid w:val="00BD5242"/>
    <w:rsid w:val="00BD5F94"/>
    <w:rsid w:val="00BD6D86"/>
    <w:rsid w:val="00BF0051"/>
    <w:rsid w:val="00BF5BD1"/>
    <w:rsid w:val="00C03175"/>
    <w:rsid w:val="00C078CB"/>
    <w:rsid w:val="00C20DD4"/>
    <w:rsid w:val="00C263B4"/>
    <w:rsid w:val="00C27897"/>
    <w:rsid w:val="00C32E2D"/>
    <w:rsid w:val="00C35061"/>
    <w:rsid w:val="00C4252D"/>
    <w:rsid w:val="00C440E9"/>
    <w:rsid w:val="00C54039"/>
    <w:rsid w:val="00C603EB"/>
    <w:rsid w:val="00C66256"/>
    <w:rsid w:val="00C70001"/>
    <w:rsid w:val="00C72215"/>
    <w:rsid w:val="00C920DC"/>
    <w:rsid w:val="00C93102"/>
    <w:rsid w:val="00C979F4"/>
    <w:rsid w:val="00CA2A3B"/>
    <w:rsid w:val="00CA4D0B"/>
    <w:rsid w:val="00CB2B06"/>
    <w:rsid w:val="00CD7B52"/>
    <w:rsid w:val="00CE24AC"/>
    <w:rsid w:val="00CE2632"/>
    <w:rsid w:val="00CE7B80"/>
    <w:rsid w:val="00CF5921"/>
    <w:rsid w:val="00D0449F"/>
    <w:rsid w:val="00D100E4"/>
    <w:rsid w:val="00D10FB0"/>
    <w:rsid w:val="00D12472"/>
    <w:rsid w:val="00D2029B"/>
    <w:rsid w:val="00D2173D"/>
    <w:rsid w:val="00D21B39"/>
    <w:rsid w:val="00D227EB"/>
    <w:rsid w:val="00D22EAE"/>
    <w:rsid w:val="00D24B4B"/>
    <w:rsid w:val="00D25423"/>
    <w:rsid w:val="00D363A6"/>
    <w:rsid w:val="00D372C1"/>
    <w:rsid w:val="00D4568A"/>
    <w:rsid w:val="00D45C6C"/>
    <w:rsid w:val="00D472FC"/>
    <w:rsid w:val="00D51448"/>
    <w:rsid w:val="00D6177F"/>
    <w:rsid w:val="00D63326"/>
    <w:rsid w:val="00D63720"/>
    <w:rsid w:val="00D70409"/>
    <w:rsid w:val="00D73EFA"/>
    <w:rsid w:val="00D772AA"/>
    <w:rsid w:val="00D87338"/>
    <w:rsid w:val="00D90BC4"/>
    <w:rsid w:val="00D9626D"/>
    <w:rsid w:val="00DA3E2E"/>
    <w:rsid w:val="00DA420A"/>
    <w:rsid w:val="00DA5558"/>
    <w:rsid w:val="00DB5EC7"/>
    <w:rsid w:val="00DC2E45"/>
    <w:rsid w:val="00DC345C"/>
    <w:rsid w:val="00DC67B9"/>
    <w:rsid w:val="00DC755D"/>
    <w:rsid w:val="00DC7F33"/>
    <w:rsid w:val="00DD14A3"/>
    <w:rsid w:val="00DE1EA9"/>
    <w:rsid w:val="00DE3A1C"/>
    <w:rsid w:val="00DE4B92"/>
    <w:rsid w:val="00DE5DAD"/>
    <w:rsid w:val="00E00AC6"/>
    <w:rsid w:val="00E03669"/>
    <w:rsid w:val="00E0420A"/>
    <w:rsid w:val="00E063BB"/>
    <w:rsid w:val="00E064DC"/>
    <w:rsid w:val="00E136F4"/>
    <w:rsid w:val="00E14CA6"/>
    <w:rsid w:val="00E1548A"/>
    <w:rsid w:val="00E17169"/>
    <w:rsid w:val="00E173A8"/>
    <w:rsid w:val="00E1752A"/>
    <w:rsid w:val="00E27E7A"/>
    <w:rsid w:val="00E322E5"/>
    <w:rsid w:val="00E334F3"/>
    <w:rsid w:val="00E33CA4"/>
    <w:rsid w:val="00E40320"/>
    <w:rsid w:val="00E46B05"/>
    <w:rsid w:val="00E520F6"/>
    <w:rsid w:val="00E523DF"/>
    <w:rsid w:val="00E62361"/>
    <w:rsid w:val="00E63BDA"/>
    <w:rsid w:val="00E64F63"/>
    <w:rsid w:val="00E719D6"/>
    <w:rsid w:val="00E71DB8"/>
    <w:rsid w:val="00E729B9"/>
    <w:rsid w:val="00E80EAC"/>
    <w:rsid w:val="00E812C6"/>
    <w:rsid w:val="00E93E77"/>
    <w:rsid w:val="00EA150A"/>
    <w:rsid w:val="00EA6680"/>
    <w:rsid w:val="00EB5E08"/>
    <w:rsid w:val="00EC26D8"/>
    <w:rsid w:val="00EC7BCA"/>
    <w:rsid w:val="00ED3D06"/>
    <w:rsid w:val="00ED7E5C"/>
    <w:rsid w:val="00EF3DA8"/>
    <w:rsid w:val="00EF4305"/>
    <w:rsid w:val="00EF6F42"/>
    <w:rsid w:val="00F11030"/>
    <w:rsid w:val="00F12EE9"/>
    <w:rsid w:val="00F1435A"/>
    <w:rsid w:val="00F21B2F"/>
    <w:rsid w:val="00F2501F"/>
    <w:rsid w:val="00F27236"/>
    <w:rsid w:val="00F30B8B"/>
    <w:rsid w:val="00F3161C"/>
    <w:rsid w:val="00F323FD"/>
    <w:rsid w:val="00F32AAB"/>
    <w:rsid w:val="00F34914"/>
    <w:rsid w:val="00F40644"/>
    <w:rsid w:val="00F45868"/>
    <w:rsid w:val="00F47CD3"/>
    <w:rsid w:val="00F5704E"/>
    <w:rsid w:val="00F73AF7"/>
    <w:rsid w:val="00F7715B"/>
    <w:rsid w:val="00F8279E"/>
    <w:rsid w:val="00F8429E"/>
    <w:rsid w:val="00F90853"/>
    <w:rsid w:val="00F91009"/>
    <w:rsid w:val="00F92CB8"/>
    <w:rsid w:val="00F92D86"/>
    <w:rsid w:val="00F95603"/>
    <w:rsid w:val="00FA3403"/>
    <w:rsid w:val="00FA6103"/>
    <w:rsid w:val="00FA6B42"/>
    <w:rsid w:val="00FB0D5F"/>
    <w:rsid w:val="00FB1390"/>
    <w:rsid w:val="00FB3FB2"/>
    <w:rsid w:val="00FB4259"/>
    <w:rsid w:val="00FC25CD"/>
    <w:rsid w:val="00FC3501"/>
    <w:rsid w:val="00FC3C40"/>
    <w:rsid w:val="00FC4940"/>
    <w:rsid w:val="00FC69E0"/>
    <w:rsid w:val="00FC7DB9"/>
    <w:rsid w:val="00FD4955"/>
    <w:rsid w:val="00FD56D0"/>
    <w:rsid w:val="00FD66E4"/>
    <w:rsid w:val="00FE1E41"/>
    <w:rsid w:val="00FE3418"/>
    <w:rsid w:val="00FE5804"/>
    <w:rsid w:val="00FE5FF9"/>
    <w:rsid w:val="00FE6A1E"/>
    <w:rsid w:val="00FF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D7A10"/>
  <w15:docId w15:val="{1DE9C3BC-3A85-4F6B-83BC-568D055C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38D6"/>
  </w:style>
  <w:style w:type="paragraph" w:styleId="Titolo1">
    <w:name w:val="heading 1"/>
    <w:basedOn w:val="Normale"/>
    <w:next w:val="Normale"/>
    <w:qFormat/>
    <w:rsid w:val="004F38D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F38D6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38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38D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38D6"/>
  </w:style>
  <w:style w:type="paragraph" w:styleId="Corpotesto">
    <w:name w:val="Body Text"/>
    <w:basedOn w:val="Normale"/>
    <w:rsid w:val="004F38D6"/>
    <w:pPr>
      <w:jc w:val="both"/>
    </w:pPr>
  </w:style>
  <w:style w:type="paragraph" w:styleId="Testofumetto">
    <w:name w:val="Balloon Text"/>
    <w:basedOn w:val="Normale"/>
    <w:semiHidden/>
    <w:rsid w:val="00C931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E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B245DF"/>
    <w:pPr>
      <w:numPr>
        <w:numId w:val="1"/>
      </w:numPr>
      <w:contextualSpacing/>
    </w:pPr>
  </w:style>
  <w:style w:type="paragraph" w:styleId="NormaleWeb">
    <w:name w:val="Normal (Web)"/>
    <w:basedOn w:val="Normale"/>
    <w:uiPriority w:val="99"/>
    <w:unhideWhenUsed/>
    <w:rsid w:val="00A3076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C54039"/>
    <w:rPr>
      <w:color w:val="0000FF"/>
      <w:u w:val="single"/>
    </w:rPr>
  </w:style>
  <w:style w:type="paragraph" w:styleId="Nessunaspaziatura">
    <w:name w:val="No Spacing"/>
    <w:uiPriority w:val="1"/>
    <w:qFormat/>
    <w:rsid w:val="00AD70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32F16"/>
    <w:pPr>
      <w:ind w:left="720"/>
      <w:contextualSpacing/>
    </w:pPr>
  </w:style>
  <w:style w:type="character" w:customStyle="1" w:styleId="il">
    <w:name w:val="il"/>
    <w:basedOn w:val="Carpredefinitoparagrafo"/>
    <w:rsid w:val="006D5B37"/>
  </w:style>
  <w:style w:type="character" w:styleId="Menzionenonrisolta">
    <w:name w:val="Unresolved Mention"/>
    <w:basedOn w:val="Carpredefinitoparagrafo"/>
    <w:uiPriority w:val="99"/>
    <w:semiHidden/>
    <w:unhideWhenUsed/>
    <w:rsid w:val="00DB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C4A0-FB8D-4DD2-84DB-F70C4D6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e, per conoscenza:</vt:lpstr>
      <vt:lpstr>e, per conoscenza:</vt:lpstr>
    </vt:vector>
  </TitlesOfParts>
  <Company>F.I.V.</Company>
  <LinksUpToDate>false</LinksUpToDate>
  <CharactersWithSpaces>8512</CharactersWithSpaces>
  <SharedDoc>false</SharedDoc>
  <HLinks>
    <vt:vector size="18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http://www.federvela.it</vt:lpwstr>
      </vt:variant>
      <vt:variant>
        <vt:lpwstr/>
      </vt:variant>
      <vt:variant>
        <vt:i4>4784152</vt:i4>
      </vt:variant>
      <vt:variant>
        <vt:i4>-1</vt:i4>
      </vt:variant>
      <vt:variant>
        <vt:i4>2061</vt:i4>
      </vt:variant>
      <vt:variant>
        <vt:i4>1</vt:i4>
      </vt:variant>
      <vt:variant>
        <vt:lpwstr>cip logo</vt:lpwstr>
      </vt:variant>
      <vt:variant>
        <vt:lpwstr/>
      </vt:variant>
      <vt:variant>
        <vt:i4>852050</vt:i4>
      </vt:variant>
      <vt:variant>
        <vt:i4>-1</vt:i4>
      </vt:variant>
      <vt:variant>
        <vt:i4>2065</vt:i4>
      </vt:variant>
      <vt:variant>
        <vt:i4>1</vt:i4>
      </vt:variant>
      <vt:variant>
        <vt:lpwstr>logo_coni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e, per conoscenza:</dc:title>
  <dc:creator>Viviana De Martini</dc:creator>
  <cp:lastModifiedBy>Monica De Giuli</cp:lastModifiedBy>
  <cp:revision>86</cp:revision>
  <cp:lastPrinted>2022-05-18T08:44:00Z</cp:lastPrinted>
  <dcterms:created xsi:type="dcterms:W3CDTF">2022-05-23T13:03:00Z</dcterms:created>
  <dcterms:modified xsi:type="dcterms:W3CDTF">2023-08-04T12:40:00Z</dcterms:modified>
</cp:coreProperties>
</file>